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2FEA2" w14:textId="77777777" w:rsidR="00E6479B" w:rsidRPr="00E6479B" w:rsidRDefault="00E6479B" w:rsidP="00E6479B">
      <w:pPr>
        <w:pStyle w:val="NormalWeb"/>
      </w:pPr>
      <w:r w:rsidRPr="00E6479B">
        <w:rPr>
          <w:rStyle w:val="Strong"/>
        </w:rPr>
        <w:t>Includes binding U.S. Supreme Court authority:</w:t>
      </w:r>
    </w:p>
    <w:p w14:paraId="740F75AC" w14:textId="77777777" w:rsidR="00E6479B" w:rsidRPr="00E6479B" w:rsidRDefault="00E6479B" w:rsidP="00E6479B">
      <w:pPr>
        <w:pStyle w:val="NormalWeb"/>
        <w:numPr>
          <w:ilvl w:val="0"/>
          <w:numId w:val="10"/>
        </w:numPr>
      </w:pPr>
      <w:r w:rsidRPr="00E6479B">
        <w:rPr>
          <w:rStyle w:val="Emphasis"/>
        </w:rPr>
        <w:t>Fong Foo v. United States</w:t>
      </w:r>
    </w:p>
    <w:p w14:paraId="10224C1C" w14:textId="77777777" w:rsidR="00E6479B" w:rsidRPr="00E6479B" w:rsidRDefault="00E6479B" w:rsidP="00E6479B">
      <w:pPr>
        <w:pStyle w:val="NormalWeb"/>
        <w:numPr>
          <w:ilvl w:val="0"/>
          <w:numId w:val="10"/>
        </w:numPr>
      </w:pPr>
      <w:r w:rsidRPr="00E6479B">
        <w:rPr>
          <w:rStyle w:val="Emphasis"/>
        </w:rPr>
        <w:t>Martin Linen Supply Co.</w:t>
      </w:r>
    </w:p>
    <w:p w14:paraId="0ECE9522" w14:textId="77777777" w:rsidR="00E6479B" w:rsidRPr="00E6479B" w:rsidRDefault="00E6479B" w:rsidP="00E6479B">
      <w:pPr>
        <w:pStyle w:val="NormalWeb"/>
        <w:numPr>
          <w:ilvl w:val="0"/>
          <w:numId w:val="10"/>
        </w:numPr>
      </w:pPr>
      <w:proofErr w:type="spellStart"/>
      <w:r w:rsidRPr="00E6479B">
        <w:rPr>
          <w:rStyle w:val="Emphasis"/>
        </w:rPr>
        <w:t>Smalis</w:t>
      </w:r>
      <w:proofErr w:type="spellEnd"/>
      <w:r w:rsidRPr="00E6479B">
        <w:rPr>
          <w:rStyle w:val="Emphasis"/>
        </w:rPr>
        <w:t xml:space="preserve"> v. Pennsylvania</w:t>
      </w:r>
    </w:p>
    <w:p w14:paraId="263BED5B" w14:textId="77777777" w:rsidR="00E6479B" w:rsidRPr="00E6479B" w:rsidRDefault="00E6479B" w:rsidP="00E6479B">
      <w:pPr>
        <w:pStyle w:val="NormalWeb"/>
        <w:numPr>
          <w:ilvl w:val="0"/>
          <w:numId w:val="10"/>
        </w:numPr>
      </w:pPr>
      <w:r w:rsidRPr="00E6479B">
        <w:rPr>
          <w:rStyle w:val="Emphasis"/>
        </w:rPr>
        <w:t>Evans v. Michigan</w:t>
      </w:r>
    </w:p>
    <w:p w14:paraId="640D71C8" w14:textId="77777777" w:rsidR="00E6479B" w:rsidRPr="00E6479B" w:rsidRDefault="00E6479B" w:rsidP="00E6479B">
      <w:pPr>
        <w:pStyle w:val="NormalWeb"/>
      </w:pPr>
      <w:r w:rsidRPr="00E6479B">
        <w:rPr>
          <w:rStyle w:val="Strong"/>
        </w:rPr>
        <w:t>Use when:</w:t>
      </w:r>
    </w:p>
    <w:p w14:paraId="72D2E88F" w14:textId="77777777" w:rsidR="00E6479B" w:rsidRPr="00E6479B" w:rsidRDefault="00E6479B" w:rsidP="00E6479B">
      <w:pPr>
        <w:pStyle w:val="NormalWeb"/>
        <w:numPr>
          <w:ilvl w:val="0"/>
          <w:numId w:val="11"/>
        </w:numPr>
      </w:pPr>
      <w:r w:rsidRPr="00E6479B">
        <w:t>Supporting your motion</w:t>
      </w:r>
    </w:p>
    <w:p w14:paraId="2030AD2A" w14:textId="77777777" w:rsidR="00E6479B" w:rsidRPr="00E6479B" w:rsidRDefault="00E6479B" w:rsidP="00E6479B">
      <w:pPr>
        <w:pStyle w:val="NormalWeb"/>
        <w:numPr>
          <w:ilvl w:val="0"/>
          <w:numId w:val="11"/>
        </w:numPr>
      </w:pPr>
      <w:r w:rsidRPr="00E6479B">
        <w:t>Preparing appellate briefing</w:t>
      </w:r>
    </w:p>
    <w:p w14:paraId="066FD770" w14:textId="77777777" w:rsidR="00E6479B" w:rsidRPr="00E6479B" w:rsidRDefault="00E6479B" w:rsidP="00E6479B">
      <w:pPr>
        <w:pStyle w:val="NormalWeb"/>
        <w:numPr>
          <w:ilvl w:val="0"/>
          <w:numId w:val="11"/>
        </w:numPr>
      </w:pPr>
      <w:r w:rsidRPr="00E6479B">
        <w:t>Responding to a judge who claims “authority” to override the jury</w:t>
      </w:r>
    </w:p>
    <w:p w14:paraId="08842132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4B3E025D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464709A7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6BB932FA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137C763E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6F586063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5CDEF357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1FE423F9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7EAFE9E3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24FE4AF9" w14:textId="77777777" w:rsidR="00E6479B" w:rsidRDefault="00E6479B">
      <w:pPr>
        <w:pStyle w:val="Heading1"/>
        <w:rPr>
          <w:color w:val="auto"/>
          <w:sz w:val="24"/>
          <w:szCs w:val="24"/>
        </w:rPr>
      </w:pPr>
    </w:p>
    <w:p w14:paraId="47DC2C07" w14:textId="77777777" w:rsidR="00E6479B" w:rsidRDefault="00E6479B" w:rsidP="00E6479B"/>
    <w:p w14:paraId="49F76EAC" w14:textId="77777777" w:rsidR="00E6479B" w:rsidRPr="00E6479B" w:rsidRDefault="00E6479B" w:rsidP="00E6479B"/>
    <w:p w14:paraId="2E34D72C" w14:textId="4A8EF0F2" w:rsidR="009B41DF" w:rsidRPr="00E6479B" w:rsidRDefault="00000000">
      <w:pPr>
        <w:pStyle w:val="Heading1"/>
        <w:rPr>
          <w:color w:val="auto"/>
          <w:sz w:val="24"/>
          <w:szCs w:val="24"/>
        </w:rPr>
      </w:pPr>
      <w:r w:rsidRPr="00E6479B">
        <w:rPr>
          <w:color w:val="auto"/>
          <w:sz w:val="24"/>
          <w:szCs w:val="24"/>
        </w:rPr>
        <w:lastRenderedPageBreak/>
        <w:t>LEGAL AUTHORITIES SUPPORTING MOTION TO VACATE</w:t>
      </w:r>
    </w:p>
    <w:p w14:paraId="3C2F8EC6" w14:textId="77777777" w:rsidR="009B41DF" w:rsidRPr="00E6479B" w:rsidRDefault="00000000">
      <w:pPr>
        <w:rPr>
          <w:sz w:val="24"/>
          <w:szCs w:val="24"/>
        </w:rPr>
      </w:pPr>
      <w:r w:rsidRPr="00E6479B">
        <w:rPr>
          <w:sz w:val="24"/>
          <w:szCs w:val="24"/>
        </w:rPr>
        <w:t>• United States v. Martin Linen Supply Co., 430 U.S. 564 (1977)</w:t>
      </w:r>
      <w:r w:rsidRPr="00E6479B">
        <w:rPr>
          <w:sz w:val="24"/>
          <w:szCs w:val="24"/>
        </w:rPr>
        <w:br/>
        <w:t>• Fong Foo v. United States, 369 U.S. 141 (1962)</w:t>
      </w:r>
      <w:r w:rsidRPr="00E6479B">
        <w:rPr>
          <w:sz w:val="24"/>
          <w:szCs w:val="24"/>
        </w:rPr>
        <w:br/>
        <w:t>• Smalis v. Pennsylvania, 476 U.S. 140 (1986)</w:t>
      </w:r>
      <w:r w:rsidRPr="00E6479B">
        <w:rPr>
          <w:sz w:val="24"/>
          <w:szCs w:val="24"/>
        </w:rPr>
        <w:br/>
        <w:t>• Evans v. Michigan, 568 U.S. 313 (2013)</w:t>
      </w:r>
      <w:r w:rsidRPr="00E6479B">
        <w:rPr>
          <w:sz w:val="24"/>
          <w:szCs w:val="24"/>
        </w:rPr>
        <w:br/>
      </w:r>
      <w:r w:rsidRPr="00E6479B">
        <w:rPr>
          <w:sz w:val="24"/>
          <w:szCs w:val="24"/>
        </w:rPr>
        <w:br/>
        <w:t>These cases establish that an acquittal by a jury is final, and no court may enter a judgment of guilt or permit further prosecution, regardless of legal error.</w:t>
      </w:r>
    </w:p>
    <w:p w14:paraId="36782F7B" w14:textId="77777777" w:rsidR="00E6479B" w:rsidRPr="00E6479B" w:rsidRDefault="00E6479B">
      <w:pPr>
        <w:rPr>
          <w:sz w:val="24"/>
          <w:szCs w:val="24"/>
        </w:rPr>
      </w:pPr>
    </w:p>
    <w:p w14:paraId="2B210B23" w14:textId="77777777" w:rsidR="00E6479B" w:rsidRPr="00E6479B" w:rsidRDefault="00E6479B">
      <w:pPr>
        <w:rPr>
          <w:sz w:val="24"/>
          <w:szCs w:val="24"/>
        </w:rPr>
      </w:pPr>
    </w:p>
    <w:p w14:paraId="1478753D" w14:textId="77777777" w:rsidR="00E6479B" w:rsidRPr="00E6479B" w:rsidRDefault="00E6479B">
      <w:pPr>
        <w:rPr>
          <w:sz w:val="24"/>
          <w:szCs w:val="24"/>
        </w:rPr>
      </w:pPr>
    </w:p>
    <w:p w14:paraId="7E23BDAA" w14:textId="77777777" w:rsidR="00E6479B" w:rsidRPr="00E6479B" w:rsidRDefault="00E6479B">
      <w:pPr>
        <w:rPr>
          <w:sz w:val="24"/>
          <w:szCs w:val="24"/>
        </w:rPr>
      </w:pPr>
    </w:p>
    <w:p w14:paraId="1DF94645" w14:textId="77777777" w:rsidR="00E6479B" w:rsidRPr="00E6479B" w:rsidRDefault="00E6479B">
      <w:pPr>
        <w:rPr>
          <w:sz w:val="24"/>
          <w:szCs w:val="24"/>
        </w:rPr>
      </w:pPr>
    </w:p>
    <w:p w14:paraId="2E0568C2" w14:textId="77777777" w:rsidR="00E6479B" w:rsidRPr="00E6479B" w:rsidRDefault="00E6479B">
      <w:pPr>
        <w:rPr>
          <w:sz w:val="24"/>
          <w:szCs w:val="24"/>
        </w:rPr>
      </w:pPr>
    </w:p>
    <w:p w14:paraId="683A71ED" w14:textId="77777777" w:rsidR="00E6479B" w:rsidRPr="00E6479B" w:rsidRDefault="00E6479B">
      <w:pPr>
        <w:rPr>
          <w:sz w:val="24"/>
          <w:szCs w:val="24"/>
        </w:rPr>
      </w:pPr>
    </w:p>
    <w:p w14:paraId="7766E23F" w14:textId="77777777" w:rsidR="00E6479B" w:rsidRPr="00E6479B" w:rsidRDefault="00E6479B">
      <w:pPr>
        <w:rPr>
          <w:sz w:val="24"/>
          <w:szCs w:val="24"/>
        </w:rPr>
      </w:pPr>
    </w:p>
    <w:p w14:paraId="1B1A3209" w14:textId="77777777" w:rsidR="00E6479B" w:rsidRPr="00E6479B" w:rsidRDefault="00E6479B">
      <w:pPr>
        <w:rPr>
          <w:sz w:val="24"/>
          <w:szCs w:val="24"/>
        </w:rPr>
      </w:pPr>
    </w:p>
    <w:p w14:paraId="7178AFB4" w14:textId="77777777" w:rsidR="00E6479B" w:rsidRPr="00E6479B" w:rsidRDefault="00E6479B">
      <w:pPr>
        <w:rPr>
          <w:sz w:val="24"/>
          <w:szCs w:val="24"/>
        </w:rPr>
      </w:pPr>
    </w:p>
    <w:p w14:paraId="26D8F452" w14:textId="77777777" w:rsidR="00E6479B" w:rsidRPr="00E6479B" w:rsidRDefault="00E6479B">
      <w:pPr>
        <w:rPr>
          <w:sz w:val="24"/>
          <w:szCs w:val="24"/>
        </w:rPr>
      </w:pPr>
    </w:p>
    <w:p w14:paraId="61BB994C" w14:textId="77777777" w:rsidR="00E6479B" w:rsidRPr="00E6479B" w:rsidRDefault="00E6479B">
      <w:pPr>
        <w:rPr>
          <w:sz w:val="24"/>
          <w:szCs w:val="24"/>
        </w:rPr>
      </w:pPr>
    </w:p>
    <w:p w14:paraId="6EE41B54" w14:textId="77777777" w:rsidR="00E6479B" w:rsidRPr="00E6479B" w:rsidRDefault="00E6479B">
      <w:pPr>
        <w:rPr>
          <w:sz w:val="24"/>
          <w:szCs w:val="24"/>
        </w:rPr>
      </w:pPr>
    </w:p>
    <w:p w14:paraId="5936C9D6" w14:textId="77777777" w:rsidR="00E6479B" w:rsidRPr="00E6479B" w:rsidRDefault="00E6479B">
      <w:pPr>
        <w:rPr>
          <w:sz w:val="24"/>
          <w:szCs w:val="24"/>
        </w:rPr>
      </w:pPr>
    </w:p>
    <w:p w14:paraId="1E03D02B" w14:textId="77777777" w:rsidR="00E6479B" w:rsidRPr="00E6479B" w:rsidRDefault="00E6479B">
      <w:pPr>
        <w:rPr>
          <w:sz w:val="24"/>
          <w:szCs w:val="24"/>
        </w:rPr>
      </w:pPr>
    </w:p>
    <w:p w14:paraId="5E418184" w14:textId="77777777" w:rsidR="00E6479B" w:rsidRPr="00E6479B" w:rsidRDefault="00E6479B">
      <w:pPr>
        <w:rPr>
          <w:sz w:val="24"/>
          <w:szCs w:val="24"/>
        </w:rPr>
      </w:pPr>
    </w:p>
    <w:p w14:paraId="6A2128B8" w14:textId="77777777" w:rsidR="00E6479B" w:rsidRPr="00E6479B" w:rsidRDefault="00E6479B">
      <w:pPr>
        <w:rPr>
          <w:sz w:val="24"/>
          <w:szCs w:val="24"/>
        </w:rPr>
      </w:pPr>
    </w:p>
    <w:p w14:paraId="21B07541" w14:textId="77777777" w:rsidR="00E6479B" w:rsidRPr="00E6479B" w:rsidRDefault="00E6479B">
      <w:pPr>
        <w:rPr>
          <w:sz w:val="24"/>
          <w:szCs w:val="24"/>
        </w:rPr>
      </w:pPr>
    </w:p>
    <w:p w14:paraId="4E31B3C6" w14:textId="77777777" w:rsidR="00E6479B" w:rsidRPr="00E6479B" w:rsidRDefault="00E6479B">
      <w:pPr>
        <w:rPr>
          <w:sz w:val="24"/>
          <w:szCs w:val="24"/>
        </w:rPr>
      </w:pPr>
    </w:p>
    <w:p w14:paraId="6D928735" w14:textId="77777777" w:rsidR="00E6479B" w:rsidRPr="00E6479B" w:rsidRDefault="00E6479B">
      <w:pPr>
        <w:rPr>
          <w:sz w:val="24"/>
          <w:szCs w:val="24"/>
        </w:rPr>
      </w:pPr>
    </w:p>
    <w:p w14:paraId="7C340674" w14:textId="77777777" w:rsidR="00E6479B" w:rsidRPr="00E6479B" w:rsidRDefault="00E6479B">
      <w:pPr>
        <w:rPr>
          <w:sz w:val="24"/>
          <w:szCs w:val="24"/>
        </w:rPr>
      </w:pPr>
    </w:p>
    <w:p w14:paraId="5BDA159D" w14:textId="77777777" w:rsidR="00E6479B" w:rsidRPr="00E6479B" w:rsidRDefault="00E6479B">
      <w:pPr>
        <w:rPr>
          <w:sz w:val="24"/>
          <w:szCs w:val="24"/>
        </w:rPr>
      </w:pPr>
    </w:p>
    <w:p w14:paraId="66799A8E" w14:textId="77777777" w:rsidR="00E6479B" w:rsidRPr="00E6479B" w:rsidRDefault="00E6479B">
      <w:pPr>
        <w:rPr>
          <w:sz w:val="24"/>
          <w:szCs w:val="24"/>
        </w:rPr>
      </w:pPr>
    </w:p>
    <w:sectPr w:rsidR="00E6479B" w:rsidRPr="00E6479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8B12168"/>
    <w:multiLevelType w:val="multilevel"/>
    <w:tmpl w:val="8F48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136026"/>
    <w:multiLevelType w:val="multilevel"/>
    <w:tmpl w:val="BD80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3642509">
    <w:abstractNumId w:val="8"/>
  </w:num>
  <w:num w:numId="2" w16cid:durableId="967126594">
    <w:abstractNumId w:val="6"/>
  </w:num>
  <w:num w:numId="3" w16cid:durableId="1930387276">
    <w:abstractNumId w:val="5"/>
  </w:num>
  <w:num w:numId="4" w16cid:durableId="1264192798">
    <w:abstractNumId w:val="4"/>
  </w:num>
  <w:num w:numId="5" w16cid:durableId="1767381244">
    <w:abstractNumId w:val="7"/>
  </w:num>
  <w:num w:numId="6" w16cid:durableId="814493831">
    <w:abstractNumId w:val="3"/>
  </w:num>
  <w:num w:numId="7" w16cid:durableId="1407998927">
    <w:abstractNumId w:val="2"/>
  </w:num>
  <w:num w:numId="8" w16cid:durableId="980233891">
    <w:abstractNumId w:val="1"/>
  </w:num>
  <w:num w:numId="9" w16cid:durableId="1144196604">
    <w:abstractNumId w:val="0"/>
  </w:num>
  <w:num w:numId="10" w16cid:durableId="810756031">
    <w:abstractNumId w:val="10"/>
  </w:num>
  <w:num w:numId="11" w16cid:durableId="4474346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F42E5"/>
    <w:rsid w:val="009B41DF"/>
    <w:rsid w:val="00AA1D8D"/>
    <w:rsid w:val="00B47730"/>
    <w:rsid w:val="00CB0664"/>
    <w:rsid w:val="00E6479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50B8D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E64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2025-12-17T14:29:00Z</dcterms:created>
  <dcterms:modified xsi:type="dcterms:W3CDTF">2025-12-17T14:29:00Z</dcterms:modified>
  <cp:category/>
</cp:coreProperties>
</file>